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1" w:rsidRDefault="00D27101" w:rsidP="00E91DA0">
      <w:pPr>
        <w:tabs>
          <w:tab w:val="left" w:pos="142"/>
        </w:tabs>
        <w:spacing w:line="276" w:lineRule="auto"/>
        <w:ind w:firstLine="708"/>
        <w:jc w:val="center"/>
        <w:rPr>
          <w:b/>
          <w:spacing w:val="-1"/>
        </w:rPr>
      </w:pPr>
      <w:r>
        <w:rPr>
          <w:spacing w:val="-1"/>
        </w:rPr>
        <w:t>Государственное бюджетное учреждение здравоохранения Свердловской области «Городская станция скорой медицинской помощи город Нижний Тагил»</w:t>
      </w:r>
    </w:p>
    <w:p w:rsidR="00D27101" w:rsidRDefault="00D27101" w:rsidP="00E91DA0">
      <w:pPr>
        <w:tabs>
          <w:tab w:val="left" w:pos="142"/>
        </w:tabs>
        <w:spacing w:line="276" w:lineRule="auto"/>
        <w:ind w:firstLine="708"/>
        <w:jc w:val="center"/>
        <w:rPr>
          <w:spacing w:val="-1"/>
        </w:rPr>
      </w:pPr>
      <w:r>
        <w:rPr>
          <w:spacing w:val="-1"/>
        </w:rPr>
        <w:t>(ГБУЗ СО «ГССМП г. Нижний Тагил»)</w:t>
      </w:r>
    </w:p>
    <w:p w:rsidR="00D27101" w:rsidRDefault="00D27101" w:rsidP="00E91DA0">
      <w:pPr>
        <w:tabs>
          <w:tab w:val="left" w:pos="142"/>
        </w:tabs>
        <w:spacing w:line="276" w:lineRule="auto"/>
        <w:ind w:firstLine="708"/>
        <w:jc w:val="center"/>
        <w:rPr>
          <w:spacing w:val="-1"/>
        </w:rPr>
      </w:pPr>
    </w:p>
    <w:p w:rsidR="00D27101" w:rsidRDefault="00D27101" w:rsidP="00E91DA0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:rsidR="00D27101" w:rsidRDefault="00D27101" w:rsidP="00E91DA0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:rsidR="00D27101" w:rsidRDefault="00E91DA0" w:rsidP="00E91DA0">
      <w:pPr>
        <w:spacing w:line="276" w:lineRule="auto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               </w:t>
      </w:r>
      <w:r w:rsidR="00D27101">
        <w:rPr>
          <w:b/>
          <w:spacing w:val="-1"/>
          <w:sz w:val="26"/>
          <w:szCs w:val="26"/>
        </w:rPr>
        <w:t xml:space="preserve">Отчёт  об  </w:t>
      </w:r>
      <w:proofErr w:type="spellStart"/>
      <w:r w:rsidR="00D27101">
        <w:rPr>
          <w:b/>
          <w:spacing w:val="-1"/>
          <w:sz w:val="26"/>
          <w:szCs w:val="26"/>
        </w:rPr>
        <w:t>антикоррупционной</w:t>
      </w:r>
      <w:proofErr w:type="spellEnd"/>
      <w:r>
        <w:rPr>
          <w:b/>
          <w:spacing w:val="-1"/>
          <w:sz w:val="26"/>
          <w:szCs w:val="26"/>
        </w:rPr>
        <w:t xml:space="preserve"> </w:t>
      </w:r>
      <w:r w:rsidR="00D27101">
        <w:rPr>
          <w:b/>
          <w:spacing w:val="-1"/>
          <w:sz w:val="26"/>
          <w:szCs w:val="26"/>
        </w:rPr>
        <w:t xml:space="preserve"> деятельности  за  2022 год</w:t>
      </w:r>
    </w:p>
    <w:p w:rsidR="00D27101" w:rsidRDefault="00D27101" w:rsidP="00E91DA0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:rsidR="00D27101" w:rsidRDefault="00D27101" w:rsidP="00E91DA0">
      <w:pPr>
        <w:spacing w:line="276" w:lineRule="auto"/>
        <w:ind w:left="-42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В 2022 году работа по противодействию коррупции в медицинском учреждении была организована в соответствии с Планом мероприятий по противодействию коррупции в ГБУЗ СО «ГССМП г. Нижний Тагил» на 2021-2023 годы (утв. приказом </w:t>
      </w:r>
      <w:r w:rsidR="00E91DA0">
        <w:rPr>
          <w:spacing w:val="-1"/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>от 21.04.2021 г. №97-п).</w:t>
      </w:r>
    </w:p>
    <w:p w:rsidR="00D27101" w:rsidRDefault="00D27101" w:rsidP="00E91DA0">
      <w:pPr>
        <w:shd w:val="clear" w:color="auto" w:fill="FFFFFF"/>
        <w:spacing w:line="276" w:lineRule="auto"/>
        <w:ind w:left="-426" w:firstLine="426"/>
        <w:jc w:val="both"/>
        <w:textAlignment w:val="top"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С целью обеспечения выполнения комплекса мероприятий утверждённого Плана,  контроля деятельности учреждения по противодействию коррупции, подведения итогов работы организации в данном направлении  и планирования работы в  2022 году прошло 4 заседания комиссии по противодействию коррупции (протокол №1 от 11.01.2022 г., протокол №2 от 01.04.2022 г., протокол №3 от 31.08.2022 г., протокол №4 от 28.12.2022 г.).</w:t>
      </w:r>
      <w:proofErr w:type="gramEnd"/>
    </w:p>
    <w:p w:rsidR="00D27101" w:rsidRDefault="00D27101" w:rsidP="00E91DA0">
      <w:pPr>
        <w:spacing w:line="276" w:lineRule="auto"/>
        <w:ind w:left="-426" w:firstLine="426"/>
        <w:jc w:val="both"/>
        <w:rPr>
          <w:color w:val="000000" w:themeColor="text1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 течение прошедшего года закупки товаров, работ, услуг  проводились согласно  Федеральному закону от 18.07.2011  №223-ФЗ  «О закупках товаров, работ, услуг отдельными видами юридических лиц».</w:t>
      </w:r>
      <w:r>
        <w:rPr>
          <w:sz w:val="26"/>
          <w:szCs w:val="26"/>
        </w:rPr>
        <w:t xml:space="preserve"> В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данной сфере в учреждении обеспечивалось решение задач  снижения коррупционных рисков, работал  механизм контроля  реализации организационных и правовых мер.  </w:t>
      </w:r>
    </w:p>
    <w:p w:rsidR="00D27101" w:rsidRDefault="00D27101" w:rsidP="00E91DA0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2022 году в организации  осуществлялся тщательный контроль распределения материальных ресурсов, медикаментов, регулярно контролировалось  соблюдение действующего законодательства в части оказания платных медицинских услуг.</w:t>
      </w:r>
    </w:p>
    <w:p w:rsidR="00D27101" w:rsidRDefault="00D27101" w:rsidP="00E91DA0">
      <w:pPr>
        <w:spacing w:line="276" w:lineRule="auto"/>
        <w:ind w:left="-42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В первом квартале 2022 года в учреждении была проведена работа по оценке коррупционных рисков. Приказом </w:t>
      </w:r>
      <w:r w:rsidR="00E91DA0">
        <w:rPr>
          <w:spacing w:val="-1"/>
          <w:sz w:val="26"/>
          <w:szCs w:val="26"/>
        </w:rPr>
        <w:t xml:space="preserve">главного врача </w:t>
      </w:r>
      <w:r>
        <w:rPr>
          <w:spacing w:val="-1"/>
          <w:sz w:val="26"/>
          <w:szCs w:val="26"/>
        </w:rPr>
        <w:t>от 04</w:t>
      </w:r>
      <w:r w:rsidR="00E91DA0">
        <w:rPr>
          <w:spacing w:val="-1"/>
          <w:sz w:val="26"/>
          <w:szCs w:val="26"/>
        </w:rPr>
        <w:t>.04.</w:t>
      </w:r>
      <w:r>
        <w:rPr>
          <w:spacing w:val="-1"/>
          <w:sz w:val="26"/>
          <w:szCs w:val="26"/>
        </w:rPr>
        <w:t xml:space="preserve">2022 года №86-п </w:t>
      </w:r>
      <w:r>
        <w:rPr>
          <w:sz w:val="26"/>
          <w:szCs w:val="26"/>
        </w:rPr>
        <w:t xml:space="preserve"> были утверждены Положение о карте коррупционных рисков, Перечень должностей, подверженных коррупционным рискам, Карта коррупционных рисков  ГБУЗ СО «ГССМП г. Нижний Тагил».</w:t>
      </w:r>
    </w:p>
    <w:p w:rsidR="00D27101" w:rsidRDefault="00D27101" w:rsidP="00E91DA0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Работа по  повышению уровня правосознания и правовой культуры </w:t>
      </w:r>
      <w:r>
        <w:rPr>
          <w:bCs/>
          <w:sz w:val="26"/>
          <w:szCs w:val="26"/>
        </w:rPr>
        <w:t xml:space="preserve">персонала учреждения, направленная на   </w:t>
      </w:r>
      <w:r>
        <w:rPr>
          <w:sz w:val="26"/>
          <w:szCs w:val="26"/>
        </w:rPr>
        <w:t xml:space="preserve">формирование установок нетерпимости работников учреждения к коррупционному поведению, </w:t>
      </w:r>
      <w:r>
        <w:rPr>
          <w:bCs/>
          <w:sz w:val="26"/>
          <w:szCs w:val="26"/>
        </w:rPr>
        <w:t xml:space="preserve">проводилась в соответствии с Планом </w:t>
      </w:r>
      <w:proofErr w:type="spellStart"/>
      <w:r>
        <w:rPr>
          <w:bCs/>
          <w:sz w:val="26"/>
          <w:szCs w:val="26"/>
        </w:rPr>
        <w:t>антикоррупционного</w:t>
      </w:r>
      <w:proofErr w:type="spellEnd"/>
      <w:r>
        <w:rPr>
          <w:bCs/>
          <w:sz w:val="26"/>
          <w:szCs w:val="26"/>
        </w:rPr>
        <w:t xml:space="preserve"> просвещения  работников на 2022 год (</w:t>
      </w:r>
      <w:r w:rsidR="00E91DA0">
        <w:rPr>
          <w:spacing w:val="-1"/>
          <w:sz w:val="26"/>
          <w:szCs w:val="26"/>
        </w:rPr>
        <w:t>утв.  приказом                   от 11.01.</w:t>
      </w:r>
      <w:r>
        <w:rPr>
          <w:spacing w:val="-1"/>
          <w:sz w:val="26"/>
          <w:szCs w:val="26"/>
        </w:rPr>
        <w:t xml:space="preserve"> 2022 г. №12).</w:t>
      </w:r>
    </w:p>
    <w:p w:rsidR="00D27101" w:rsidRDefault="00D27101" w:rsidP="00E91DA0">
      <w:pPr>
        <w:shd w:val="clear" w:color="auto" w:fill="FFFFFF"/>
        <w:spacing w:line="276" w:lineRule="auto"/>
        <w:ind w:left="-426"/>
        <w:jc w:val="both"/>
        <w:textAlignment w:val="top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Во 2 квартале 2022 года работники организации изучили на сайте Учреждения пакет документов  раздела «Противодействие коррупции»,  подтвердив ознакомление с данными материалами росписью в общем списке персонала.</w:t>
      </w:r>
    </w:p>
    <w:p w:rsidR="00D27101" w:rsidRDefault="00D27101" w:rsidP="00E91DA0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>
        <w:rPr>
          <w:spacing w:val="-1"/>
        </w:rPr>
        <w:t xml:space="preserve">       </w:t>
      </w:r>
      <w:r>
        <w:rPr>
          <w:spacing w:val="-1"/>
          <w:sz w:val="26"/>
          <w:szCs w:val="26"/>
        </w:rPr>
        <w:t xml:space="preserve">01.12.2022 г. на стенде «Противодействие коррупции» была  </w:t>
      </w:r>
      <w:r>
        <w:rPr>
          <w:rFonts w:cs="Arial"/>
          <w:color w:val="000000"/>
          <w:sz w:val="26"/>
          <w:szCs w:val="26"/>
        </w:rPr>
        <w:t xml:space="preserve">обновлена информация, направленная  на профилактическую работу  борьбы с коррупцией, </w:t>
      </w:r>
      <w:r>
        <w:rPr>
          <w:spacing w:val="-1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>размещены плакаты, посвящённые М</w:t>
      </w:r>
      <w:r>
        <w:rPr>
          <w:rStyle w:val="a3"/>
          <w:rFonts w:cs="Arial"/>
          <w:b w:val="0"/>
          <w:color w:val="000000"/>
          <w:sz w:val="26"/>
          <w:szCs w:val="26"/>
        </w:rPr>
        <w:t>еждународному дню борьбы с коррупцией</w:t>
      </w:r>
      <w:r>
        <w:rPr>
          <w:rFonts w:cs="Arial"/>
          <w:color w:val="000000"/>
          <w:sz w:val="26"/>
          <w:szCs w:val="26"/>
        </w:rPr>
        <w:t xml:space="preserve"> и вопросам противодействия коррупции.</w:t>
      </w:r>
    </w:p>
    <w:p w:rsidR="00D27101" w:rsidRDefault="00D27101" w:rsidP="00E91DA0">
      <w:pPr>
        <w:spacing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В </w:t>
      </w:r>
      <w:r>
        <w:rPr>
          <w:bCs/>
          <w:sz w:val="26"/>
          <w:szCs w:val="26"/>
        </w:rPr>
        <w:t xml:space="preserve"> рамках участия в YIII </w:t>
      </w:r>
      <w:proofErr w:type="spellStart"/>
      <w:r>
        <w:rPr>
          <w:bCs/>
          <w:sz w:val="26"/>
          <w:szCs w:val="26"/>
        </w:rPr>
        <w:t>Антикоррупционном</w:t>
      </w:r>
      <w:proofErr w:type="spellEnd"/>
      <w:r>
        <w:rPr>
          <w:bCs/>
          <w:sz w:val="26"/>
          <w:szCs w:val="26"/>
        </w:rPr>
        <w:t xml:space="preserve">  марафоне  Свердловской  области</w:t>
      </w:r>
    </w:p>
    <w:p w:rsidR="00D27101" w:rsidRDefault="00D27101" w:rsidP="00E91DA0">
      <w:pPr>
        <w:spacing w:line="276" w:lineRule="auto"/>
        <w:ind w:lef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25 ноября 2022 года в учреждении прошёл семинар на тему «Конфликт интересов в сфере здравоохранения. Подарки». В мероприятии участвовало 12 человек. </w:t>
      </w:r>
    </w:p>
    <w:p w:rsidR="00D27101" w:rsidRDefault="00D27101" w:rsidP="00E91DA0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>
        <w:rPr>
          <w:spacing w:val="-1"/>
          <w:sz w:val="26"/>
          <w:szCs w:val="26"/>
        </w:rPr>
        <w:t xml:space="preserve">В Международный день борьбы с коррупцией  9 декабря 2022 года с 13.00 до 14.30 юрисконсульт  учреждения обеспечила консультирование  граждан по телефону. За разъяснениями по вопросу  противодействия коррупции  жители Нижнего Тагила не обращались. Информация о «прямой телефонной линии» с жителями города была  на официальном сайте (http://gssmp-nt.ru/) и  информационных стендах ГБУЗ СО «ГССМП   г. Нижний Тагил» с 05 декабря 2022 года. </w:t>
      </w:r>
    </w:p>
    <w:p w:rsidR="00D27101" w:rsidRDefault="00D27101" w:rsidP="00E91DA0">
      <w:pPr>
        <w:pStyle w:val="1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cs="Arial"/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      К  9 декабря  2022 года на учреждения   в разделе Противодействие коррупции (http://gssmp-nt.ru/protivodejstvie-korruptsii/) была размещена памятка «Об уголовной ответственности за коррупционные нарушения». Всего в </w:t>
      </w:r>
      <w:r>
        <w:rPr>
          <w:rFonts w:cs="Arial"/>
          <w:color w:val="000000"/>
          <w:sz w:val="26"/>
          <w:szCs w:val="26"/>
        </w:rPr>
        <w:t xml:space="preserve"> 2022 году было актуализировано 2 вида памяток, н</w:t>
      </w:r>
      <w:r>
        <w:rPr>
          <w:rStyle w:val="a3"/>
          <w:rFonts w:cs="Arial"/>
          <w:b w:val="0"/>
          <w:color w:val="000000"/>
          <w:sz w:val="26"/>
          <w:szCs w:val="26"/>
        </w:rPr>
        <w:t>аправленных</w:t>
      </w:r>
      <w:r>
        <w:rPr>
          <w:rStyle w:val="a3"/>
          <w:rFonts w:cs="Arial"/>
          <w:color w:val="000000"/>
          <w:sz w:val="26"/>
          <w:szCs w:val="26"/>
        </w:rPr>
        <w:t xml:space="preserve">  </w:t>
      </w:r>
      <w:r>
        <w:rPr>
          <w:bCs/>
          <w:color w:val="000000" w:themeColor="text1"/>
          <w:sz w:val="26"/>
          <w:szCs w:val="26"/>
          <w:shd w:val="clear" w:color="auto" w:fill="FFFFFF"/>
        </w:rPr>
        <w:t>на</w:t>
      </w:r>
      <w:r>
        <w:rPr>
          <w:color w:val="000000" w:themeColor="text1"/>
          <w:sz w:val="26"/>
          <w:szCs w:val="26"/>
          <w:shd w:val="clear" w:color="auto" w:fill="FFFFFF"/>
        </w:rPr>
        <w:t> </w:t>
      </w:r>
      <w:r>
        <w:rPr>
          <w:bCs/>
          <w:color w:val="000000" w:themeColor="text1"/>
          <w:sz w:val="26"/>
          <w:szCs w:val="26"/>
          <w:shd w:val="clear" w:color="auto" w:fill="FFFFFF"/>
        </w:rPr>
        <w:t>профилактику</w:t>
      </w:r>
      <w:r>
        <w:rPr>
          <w:color w:val="000000" w:themeColor="text1"/>
          <w:sz w:val="26"/>
          <w:szCs w:val="26"/>
          <w:shd w:val="clear" w:color="auto" w:fill="FFFFFF"/>
        </w:rPr>
        <w:t> и пресечение</w:t>
      </w:r>
      <w:r>
        <w:rPr>
          <w:color w:val="333333"/>
          <w:sz w:val="26"/>
          <w:szCs w:val="26"/>
          <w:shd w:val="clear" w:color="auto" w:fill="FFFFFF"/>
        </w:rPr>
        <w:t> 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коррупционных</w:t>
      </w:r>
      <w:r>
        <w:rPr>
          <w:color w:val="000000" w:themeColor="text1"/>
          <w:sz w:val="26"/>
          <w:szCs w:val="26"/>
          <w:shd w:val="clear" w:color="auto" w:fill="FFFFFF"/>
        </w:rPr>
        <w:t> правонару</w:t>
      </w:r>
      <w:r>
        <w:rPr>
          <w:spacing w:val="-1"/>
          <w:sz w:val="26"/>
          <w:szCs w:val="26"/>
        </w:rPr>
        <w:t>шений.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27101" w:rsidRDefault="00D27101" w:rsidP="00E91DA0">
      <w:pPr>
        <w:spacing w:line="276" w:lineRule="auto"/>
        <w:ind w:left="-426"/>
        <w:jc w:val="both"/>
        <w:rPr>
          <w:spacing w:val="-1"/>
          <w:sz w:val="26"/>
          <w:szCs w:val="26"/>
          <w:highlight w:val="yellow"/>
        </w:rPr>
      </w:pPr>
      <w:r>
        <w:rPr>
          <w:spacing w:val="-1"/>
          <w:sz w:val="26"/>
          <w:szCs w:val="26"/>
        </w:rPr>
        <w:t xml:space="preserve">      С  работниками учреждения с января по декабрь 2022 года велась индивидуальная и    групповая разъяснительная работа </w:t>
      </w:r>
      <w:r>
        <w:rPr>
          <w:sz w:val="26"/>
          <w:szCs w:val="26"/>
        </w:rPr>
        <w:t xml:space="preserve">по вопросам  соблюдения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стандартов и процедур.</w:t>
      </w:r>
      <w:r>
        <w:rPr>
          <w:spacing w:val="-1"/>
          <w:sz w:val="26"/>
          <w:szCs w:val="26"/>
        </w:rPr>
        <w:t xml:space="preserve"> Медицинские работники информировались о требованиях, установленных статьями 74 и 75  Федерального Закона от 21.11.2011.г. №323-ФЗ «Об основах охраны здоровья граждан в Российской Федерации». </w:t>
      </w:r>
    </w:p>
    <w:p w:rsidR="00D27101" w:rsidRDefault="00D27101" w:rsidP="00E91DA0">
      <w:pPr>
        <w:spacing w:line="276" w:lineRule="auto"/>
        <w:ind w:left="-426"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2022 году  при трудоустройстве в учреждение   каждый  работник проходил процедуру ознакомления  с нормативно-правовыми актами,  </w:t>
      </w:r>
      <w:r>
        <w:rPr>
          <w:sz w:val="26"/>
          <w:szCs w:val="26"/>
        </w:rPr>
        <w:t xml:space="preserve">регламентирующими вопросы предупреждения и противодействия коррупции в ГБУЗ СО «ГССМП   </w:t>
      </w:r>
      <w:r w:rsidR="00E91DA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г.</w:t>
      </w:r>
      <w:r w:rsidR="00E91DA0">
        <w:rPr>
          <w:sz w:val="26"/>
          <w:szCs w:val="26"/>
        </w:rPr>
        <w:t xml:space="preserve"> </w:t>
      </w:r>
      <w:r>
        <w:rPr>
          <w:sz w:val="26"/>
          <w:szCs w:val="26"/>
        </w:rPr>
        <w:t>Нижний Тагил».</w:t>
      </w:r>
      <w:r>
        <w:rPr>
          <w:spacing w:val="-1"/>
          <w:sz w:val="26"/>
          <w:szCs w:val="26"/>
        </w:rPr>
        <w:t xml:space="preserve">  </w:t>
      </w:r>
    </w:p>
    <w:p w:rsidR="00D27101" w:rsidRDefault="00D27101" w:rsidP="00E91DA0">
      <w:pPr>
        <w:spacing w:line="276" w:lineRule="auto"/>
        <w:ind w:left="-426" w:firstLine="426"/>
        <w:jc w:val="both"/>
        <w:rPr>
          <w:spacing w:val="-1"/>
          <w:sz w:val="26"/>
          <w:szCs w:val="26"/>
        </w:rPr>
      </w:pPr>
    </w:p>
    <w:p w:rsidR="00D27101" w:rsidRDefault="00D27101" w:rsidP="00E91DA0">
      <w:pPr>
        <w:pStyle w:val="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  <w:highlight w:val="yellow"/>
        </w:rPr>
        <w:t xml:space="preserve">                                                            </w:t>
      </w:r>
    </w:p>
    <w:p w:rsidR="00D27101" w:rsidRDefault="00D27101" w:rsidP="00E91DA0">
      <w:pPr>
        <w:pStyle w:val="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pacing w:val="-1"/>
          <w:sz w:val="32"/>
          <w:szCs w:val="32"/>
          <w:highlight w:val="yellow"/>
        </w:rPr>
      </w:pPr>
      <w:r>
        <w:rPr>
          <w:spacing w:val="-1"/>
          <w:sz w:val="26"/>
          <w:szCs w:val="26"/>
        </w:rPr>
        <w:t xml:space="preserve">Главный врач                                  С.В. Безбородов </w:t>
      </w:r>
    </w:p>
    <w:p w:rsidR="00D27101" w:rsidRDefault="00D27101" w:rsidP="00D27101">
      <w:pPr>
        <w:pStyle w:val="10"/>
        <w:ind w:left="0"/>
        <w:jc w:val="both"/>
        <w:rPr>
          <w:rFonts w:ascii="Arial" w:hAnsi="Arial" w:cs="Arial"/>
          <w:color w:val="007700"/>
          <w:sz w:val="23"/>
          <w:szCs w:val="23"/>
        </w:rPr>
      </w:pPr>
    </w:p>
    <w:p w:rsidR="00D27101" w:rsidRDefault="00D27101" w:rsidP="00D27101">
      <w:pPr>
        <w:pStyle w:val="10"/>
        <w:ind w:left="0"/>
        <w:jc w:val="both"/>
        <w:rPr>
          <w:rFonts w:ascii="Arial" w:hAnsi="Arial" w:cs="Arial"/>
          <w:color w:val="007700"/>
          <w:sz w:val="23"/>
          <w:szCs w:val="23"/>
        </w:rPr>
      </w:pPr>
    </w:p>
    <w:p w:rsidR="00D27101" w:rsidRDefault="00D27101" w:rsidP="00D27101">
      <w:pPr>
        <w:pStyle w:val="10"/>
        <w:ind w:left="0"/>
        <w:jc w:val="both"/>
        <w:rPr>
          <w:rFonts w:ascii="Arial" w:hAnsi="Arial" w:cs="Arial"/>
          <w:color w:val="007700"/>
          <w:sz w:val="23"/>
          <w:szCs w:val="23"/>
        </w:rPr>
      </w:pPr>
    </w:p>
    <w:p w:rsidR="00D27101" w:rsidRDefault="00D27101" w:rsidP="00D27101">
      <w:pPr>
        <w:pStyle w:val="10"/>
        <w:ind w:left="0"/>
        <w:jc w:val="both"/>
        <w:rPr>
          <w:rFonts w:ascii="Arial" w:hAnsi="Arial" w:cs="Arial"/>
          <w:color w:val="007700"/>
          <w:sz w:val="23"/>
          <w:szCs w:val="23"/>
        </w:rPr>
      </w:pPr>
    </w:p>
    <w:p w:rsidR="00D27101" w:rsidRDefault="00D27101" w:rsidP="00D27101">
      <w:pPr>
        <w:pStyle w:val="10"/>
        <w:ind w:left="-426"/>
        <w:jc w:val="both"/>
        <w:rPr>
          <w:sz w:val="22"/>
          <w:szCs w:val="22"/>
        </w:rPr>
      </w:pP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</w:p>
    <w:p w:rsidR="00D27101" w:rsidRDefault="00D27101" w:rsidP="00D27101">
      <w:pPr>
        <w:pStyle w:val="10"/>
        <w:ind w:left="-426"/>
        <w:jc w:val="both"/>
        <w:rPr>
          <w:sz w:val="20"/>
          <w:szCs w:val="20"/>
        </w:rPr>
      </w:pPr>
    </w:p>
    <w:p w:rsidR="00D27101" w:rsidRDefault="00D27101" w:rsidP="00D27101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D27101" w:rsidRDefault="00D27101" w:rsidP="00D27101">
      <w:pPr>
        <w:ind w:left="-851"/>
        <w:rPr>
          <w:color w:val="000000"/>
          <w:sz w:val="22"/>
          <w:szCs w:val="22"/>
        </w:rPr>
      </w:pPr>
    </w:p>
    <w:p w:rsidR="00D27101" w:rsidRDefault="00D27101" w:rsidP="00D27101">
      <w:pPr>
        <w:ind w:left="-851"/>
        <w:rPr>
          <w:color w:val="000000"/>
          <w:sz w:val="22"/>
          <w:szCs w:val="22"/>
        </w:rPr>
      </w:pPr>
    </w:p>
    <w:p w:rsidR="00D27101" w:rsidRDefault="00D27101" w:rsidP="00D27101">
      <w:pPr>
        <w:ind w:left="-851"/>
        <w:rPr>
          <w:color w:val="000000"/>
          <w:sz w:val="22"/>
          <w:szCs w:val="22"/>
        </w:rPr>
      </w:pPr>
    </w:p>
    <w:p w:rsidR="00D27101" w:rsidRDefault="00D27101" w:rsidP="00D27101">
      <w:pPr>
        <w:ind w:left="-851"/>
        <w:rPr>
          <w:color w:val="000000"/>
          <w:sz w:val="22"/>
          <w:szCs w:val="22"/>
        </w:rPr>
      </w:pPr>
    </w:p>
    <w:p w:rsidR="00D27101" w:rsidRDefault="00D27101" w:rsidP="00D27101">
      <w:pPr>
        <w:ind w:left="-851"/>
        <w:rPr>
          <w:color w:val="000000"/>
          <w:sz w:val="22"/>
          <w:szCs w:val="22"/>
        </w:rPr>
      </w:pPr>
    </w:p>
    <w:p w:rsidR="00D27101" w:rsidRDefault="00D27101" w:rsidP="00D27101">
      <w:pPr>
        <w:tabs>
          <w:tab w:val="left" w:pos="142"/>
        </w:tabs>
        <w:ind w:firstLine="708"/>
        <w:jc w:val="center"/>
        <w:rPr>
          <w:spacing w:val="-1"/>
        </w:rPr>
      </w:pPr>
    </w:p>
    <w:p w:rsidR="00D27101" w:rsidRDefault="00D27101" w:rsidP="00D27101">
      <w:pPr>
        <w:tabs>
          <w:tab w:val="left" w:pos="142"/>
        </w:tabs>
        <w:ind w:firstLine="708"/>
        <w:jc w:val="center"/>
        <w:rPr>
          <w:spacing w:val="-1"/>
        </w:rPr>
      </w:pPr>
    </w:p>
    <w:p w:rsidR="00D27101" w:rsidRDefault="00D27101" w:rsidP="00D27101"/>
    <w:p w:rsidR="00AA3F5C" w:rsidRDefault="00AA3F5C" w:rsidP="00D27101">
      <w:pPr>
        <w:jc w:val="center"/>
      </w:pPr>
    </w:p>
    <w:sectPr w:rsidR="00AA3F5C" w:rsidSect="00D2710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101"/>
    <w:rsid w:val="001578C1"/>
    <w:rsid w:val="00AA3F5C"/>
    <w:rsid w:val="00D27101"/>
    <w:rsid w:val="00E9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2710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D27101"/>
    <w:pPr>
      <w:ind w:left="720"/>
    </w:pPr>
  </w:style>
  <w:style w:type="character" w:styleId="a3">
    <w:name w:val="Strong"/>
    <w:basedOn w:val="a0"/>
    <w:uiPriority w:val="22"/>
    <w:qFormat/>
    <w:rsid w:val="00D27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2023-02-02T10:06:00Z</dcterms:created>
  <dcterms:modified xsi:type="dcterms:W3CDTF">2023-02-02T10:50:00Z</dcterms:modified>
</cp:coreProperties>
</file>